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baseline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附1：</w:t>
      </w:r>
    </w:p>
    <w:p>
      <w:pPr>
        <w:jc w:val="center"/>
        <w:textAlignment w:val="baseline"/>
        <w:rPr>
          <w:color w:val="000000"/>
          <w:sz w:val="28"/>
          <w:szCs w:val="28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268220" cy="307975"/>
            <wp:effectExtent l="0" t="0" r="17780" b="15875"/>
            <wp:docPr id="46" name="图片 4" descr="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" descr="蓝色"/>
                    <pic:cNvPicPr>
                      <a:picLocks noChangeAspect="1"/>
                    </pic:cNvPicPr>
                  </pic:nvPicPr>
                  <pic:blipFill>
                    <a:blip r:embed="rId6"/>
                    <a:srcRect l="7730" t="15982" r="7126" b="1511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方正小标宋简体"/>
          <w:color w:val="000000"/>
          <w:sz w:val="36"/>
          <w:szCs w:val="36"/>
        </w:rPr>
      </w:pPr>
      <w:r>
        <w:rPr>
          <w:rFonts w:hint="eastAsia" w:ascii="黑体" w:hAnsi="黑体" w:eastAsia="黑体" w:cs="方正小标宋简体"/>
          <w:color w:val="000000"/>
          <w:sz w:val="36"/>
          <w:szCs w:val="36"/>
        </w:rPr>
        <w:t>二级学院教学工作考核指标体系</w:t>
      </w:r>
    </w:p>
    <w:tbl>
      <w:tblPr>
        <w:tblStyle w:val="6"/>
        <w:tblW w:w="87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370"/>
        <w:gridCol w:w="367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tblHeader/>
          <w:jc w:val="center"/>
        </w:trPr>
        <w:tc>
          <w:tcPr>
            <w:tcW w:w="1488" w:type="dxa"/>
            <w:shd w:val="clear" w:color="auto" w:fill="F2DCDC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  <w:t>一级指标</w:t>
            </w:r>
          </w:p>
        </w:tc>
        <w:tc>
          <w:tcPr>
            <w:tcW w:w="2370" w:type="dxa"/>
            <w:shd w:val="clear" w:color="auto" w:fill="F2DCDC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  <w:t>二级指标</w:t>
            </w:r>
          </w:p>
        </w:tc>
        <w:tc>
          <w:tcPr>
            <w:tcW w:w="3675" w:type="dxa"/>
            <w:shd w:val="clear" w:color="auto" w:fill="F2DCDC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  <w:t>主要观测点</w:t>
            </w:r>
          </w:p>
        </w:tc>
        <w:tc>
          <w:tcPr>
            <w:tcW w:w="1230" w:type="dxa"/>
            <w:shd w:val="clear" w:color="auto" w:fill="F2DCDC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1.教学工作思路与地位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(10分)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1.1教学工作思路(0.4)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1.1.1教学工作计划与总结（1.0）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教学汇报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1.2教学工作地位(0.4)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1.2.1教学会议与巡查（0.6）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1.2.2院系领导听课（0.4）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1.3人才培养模式(0.2)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1.3.1人才培养模式改革（1.0）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2.师资队伍(15分)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2.1师资队伍建设(0.3)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2.1.1培养培训工作（0.3）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2.1.2培养培训效果（0.3）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2.1.3教师数量与结构（0.2）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专项评价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2.1.4专任教师流失（0.2）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2.2教师教学工作(0.7)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2.2.1校教学专家评教（0.4）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2.2.2教师教学获奖（0.4）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2.2.3教师指导学生获奖（0.2）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3.专业与课程建设(15分)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3.1专业建设(0.6)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3.1.1专业建设规划制订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  <w:t>与执行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（0.3）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专项评价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3.1.2教学工程项目（0.3）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3.1.3实践教学基地建设（0.4）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3.2课程建设(0.4)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3.2.1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eastAsia="zh-CN"/>
              </w:rPr>
              <w:t>课程建设规划与执行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（0.5）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专项评价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3.2.2课程建设项目（0.3）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3.2.3教材（0.2）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4.教研教改(10分)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4.1教研教改活动(0.3)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4.1.1教研教改活动情况（1.0）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4.2教研教改项目与成果（0.7）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4.2.1教研课题立项（0.4）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4.2.2教学成果奖（0.6）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5.教学管理(30分)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  <w:t>5.1教学运行管理（0.25）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  <w:t>5.1.1人才培养方案执行（0.2）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  <w:t>5.1.2调停课(0.3)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  <w:t>5.1.3教学事故(0.3)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5.1.4学生到课率（0.2）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5.2考试管理（0.2）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5.2.1学生考试违规(0.3)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5.2.2考试试卷与管理(0.7)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专项评价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5.3实践教学管理（0.35）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5.3.1毕业设计（论文）与管理(0.4)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专项评价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5.3.2实验（实训）（0.3）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5.3.3集中实践环节（0.3）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5.4教学档案（0.1）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5.4.1教学档案管理（1.0）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专项评价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5.5教师考核（0.1）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5.5.1教师教学科研考核（1.0）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6.培养效果(20分)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6.1学科竞赛（0.3）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6.1.1学生学科竞赛参与(0.3)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6.1.2学生学科竞赛获奖(0.7)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6.2等级考试（0.2）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6.2.1英语等级考试通过率(0.4)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6.2.2计算机等级考试通过率(0.4)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6.2.3普通话测试通过率（0.2）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6.3项目与成果（0.2）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6.3.1学生创新性项目(0.5)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6.3.2学生公开发表作品(0.5)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6.4毕业生就业（0.3）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6.4.1毕业生就业工作（0.5）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材料检查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6.4.2毕业生考研录取（0.5）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数据审核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7.附加项目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237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7.1工作特色（1.0）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7.1.1教学工作创新（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教学汇报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7.1.2突出业绩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数据审核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ySyc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V3i3B23OPHzj+/nn7/Pv74R&#10;9KFAfYAa8x4DZqbhxg+4NrMf0Jl5Dyra/EVGBOMo7+kirxwSEfnRarlaVRgSGJsviM+enocI6U56&#10;S7LR0IjzK7Ly4z2kMXVOydWcv9XGlBka95cDMbOH5d7HHrOVht0wEdr59oR8ehx9Qx1uOiXmo0Nl&#10;85bMRpyN3WwcQtT7rqxRrgfhwyFhE6W3XGGEnQrjzAq7ab/yUjy/l6yn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L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69B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Body Text 3"/>
    <w:basedOn w:val="1"/>
    <w:unhideWhenUsed/>
    <w:qFormat/>
    <w:uiPriority w:val="99"/>
    <w:pPr>
      <w:spacing w:line="360" w:lineRule="exact"/>
    </w:pPr>
    <w:rPr>
      <w:rFonts w:ascii="仿宋_GB2312" w:hAnsi="宋体" w:eastAsia="仿宋_GB2312" w:cs="Times New Roman"/>
      <w:bCs/>
      <w:spacing w:val="4"/>
      <w:kern w:val="0"/>
      <w:sz w:val="24"/>
      <w:szCs w:val="1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2022-10-04T02:26:58Z</dcterms:created>
  <dc:creator>Administrator</dc:creator>
  <cp:lastModifiedBy>远方的寂静</cp:lastModifiedBy>
  <dcterms:modified xsi:type="dcterms:W3CDTF">2022-10-04T02:27:05Z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93D5ED5257EE4FA4BA7699507DC44F33</vt:lpwstr>
  </property>
</Properties>
</file>