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国家中长期教育改革和发展规划纲要（2010-2020年）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24"/>
          <w:szCs w:val="24"/>
        </w:rPr>
      </w:pPr>
      <w:r>
        <w:rPr>
          <w:rFonts w:hint="eastAsia"/>
          <w:b/>
          <w:bCs/>
          <w:sz w:val="24"/>
          <w:szCs w:val="24"/>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序言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第一部分 总体战略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第一章 指导思想和工作方针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（二）工作方针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第二章 战略目标和战略主题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（三）战略目标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（四）战略主题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第二部分 发展任务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第三章 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（五）基本普及学前教育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（六）明确政府职责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（七）重点发展农村学前教育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第四章 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（八）巩固提高九年义务教育水平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（九）推进义务教育均衡发展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（十）减轻中小学生课业负担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第五章 高中阶段教育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（十一）加快普及高中阶段教育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（十二）全面提高普通高中学生综合素质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（十三）推动普通高中多样化发展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第六章 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（十四）大力发展职业教育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（十五）调动行业企业的积极性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（十六）加快发展面向农村的职业教育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（十七）增强职业教育吸引力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第七章 高等教育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（十八）全面提高高等教育质量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（十九）提高人才培养质量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（二十）提升科学研究水平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（二十一）增强社会服务能力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（二十二）优化结构办出特色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第八章 继续教育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（二十三）加快发展继续教育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（二十四）建立健全继续教育体制机制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（二十五）构建灵活开放的终身教育体系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第九章 民族教育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（二十六）重视和支持民族教育事业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（二十七）全面提高少数民族和民族地区教育发展水平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第十章 特殊教育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（二十八）关心和支持特殊教育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（二十九）完善特殊教育体系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（三十）健全特殊教育保障机制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第三部分 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第十一章 人才培养体制改革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（三十一）更新人才培养观念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（三十二）创新人才培养模式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（三十三）改革教育质量评价和人才评价制度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第十二章 考试招生制度改革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（三十四）推进考试招生制度改革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（三十五）完善中等学校考试招生制度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（三十六）完善高等学校考试招生制度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（三十七）加强信息公开和社会监督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第十三章 建设现代学校制度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（三十八）推进政校分开、管办分离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（三十九）落实和扩大学校办学自主权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（四十）完善中国特色现代大学制度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（四十一）完善中小学学校管理制度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第十四章 办学体制改革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（四十二）深化办学体制改革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（四十三）大力支持民办教育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（四十四）依法管理民办教育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第十五章 管理体制改革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（四十五）健全统筹有力、权责明确的教育管理体制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（四十六）加强省级政府教育统筹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（四十七）转变政府教育管理职能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第十六章 扩大教育开放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（四十八）加强国际交流与合作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（四十九）引进优质教育资源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（五十）提高交流合作水平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第四部分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第十七章 加强教师队伍建设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（五十一）建设高素质教师队伍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（五十二）加强师德建设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（五十三）提高教师业务水平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（五十四）提高教师地位待遇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（五十五）健全教师管理制度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第十八章 保障经费投入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（五十六）加大教育投入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（五十七）完善投入机制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（五十八）加强经费管理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第十九章 加快教育信息化进程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（五十九）加快教育信息基础设施建设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（六十）加强优质教育资源开发与应用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（六十一）构建国家教育管理信息系统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第二十章 推进依法治教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（六十二）完善教育法律法规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（六十三）全面推进依法行政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（六十四）大力推进依法治校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（六十五）完善督导制度和监督问责机制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第二十一章 重大项目和改革试点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（六十六）组织实施重大项目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（六十七）组织开展改革试点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第二十二章 加强组织领导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（六十八）加强和改善对教育工作的领导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（六十九）加强和改进教育系统党的建设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（七十）切实维护教育系统和谐稳定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w:t>
      </w:r>
      <w:r>
        <w:rPr>
          <w:rFonts w:hint="eastAsia"/>
          <w:b/>
          <w:bCs/>
          <w:sz w:val="24"/>
          <w:szCs w:val="24"/>
        </w:rPr>
        <w:t>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根据党的十七大关于“优先发展教育，建设人力资源强国”的战略部署，为促进教育事业科学发展，全面提高国民素质，加快社会主义现代化进程，制定本《教育规划纲要》。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序 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百年大计，教育为本。教育是民族</w:t>
      </w:r>
      <w:bookmarkStart w:id="0" w:name="_GoBack"/>
      <w:bookmarkEnd w:id="0"/>
      <w:r>
        <w:rPr>
          <w:rFonts w:hint="eastAsia"/>
          <w:sz w:val="24"/>
          <w:szCs w:val="24"/>
        </w:rPr>
        <w:t>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第一部分 总体战略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第一章 指导思想和工作方针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全面贯彻党的教育方针，坚持教育为社会主义现代化建设服务，为人民服务，与生产劳动和社会实践相结合，培养德智体美全面发展的社会主义建设者和接班人。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全面推进教育事业科学发展，立足社会主义初级阶段基本国情，把握教育发展阶段性特征，坚持以人为本，遵循教育规律，面向社会需求，优化结构布局，提高教育现代化水平。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（二）工作方针。优先发展、育人为本、改革创新、促进公平、提高质量。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第二章 战略目标和战略主题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（三）战略目标。到2020年，基本实现教育现代化，基本形成学习型社会，进入人力资源强国行列。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b/>
          <w:sz w:val="21"/>
          <w:szCs w:val="21"/>
        </w:rPr>
        <w:t>专栏1：教育事业发展主目标</w:t>
      </w:r>
    </w:p>
    <w:tbl>
      <w:tblPr>
        <w:tblStyle w:val="3"/>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378"/>
        <w:gridCol w:w="1157"/>
        <w:gridCol w:w="1262"/>
        <w:gridCol w:w="1261"/>
        <w:gridCol w:w="12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7" w:hRule="atLeast"/>
          <w:tblHeader/>
          <w:tblCellSpacing w:w="0" w:type="dxa"/>
          <w:jc w:val="center"/>
        </w:trPr>
        <w:tc>
          <w:tcPr>
            <w:tcW w:w="3378" w:type="dxa"/>
            <w:shd w:val="clear" w:color="auto" w:fill="auto"/>
            <w:vAlign w:val="center"/>
          </w:tcPr>
          <w:p>
            <w:pPr>
              <w:pStyle w:val="2"/>
              <w:keepNext w:val="0"/>
              <w:keepLines w:val="0"/>
              <w:widowControl/>
              <w:suppressLineNumbers w:val="0"/>
              <w:jc w:val="center"/>
            </w:pPr>
            <w:r>
              <w:rPr>
                <w:b/>
              </w:rPr>
              <w:t>指标</w:t>
            </w:r>
          </w:p>
        </w:tc>
        <w:tc>
          <w:tcPr>
            <w:tcW w:w="1157" w:type="dxa"/>
            <w:shd w:val="clear" w:color="auto" w:fill="auto"/>
            <w:vAlign w:val="center"/>
          </w:tcPr>
          <w:p>
            <w:pPr>
              <w:pStyle w:val="2"/>
              <w:keepNext w:val="0"/>
              <w:keepLines w:val="0"/>
              <w:widowControl/>
              <w:suppressLineNumbers w:val="0"/>
              <w:jc w:val="center"/>
            </w:pPr>
            <w:r>
              <w:rPr>
                <w:b/>
              </w:rPr>
              <w:t>单位</w:t>
            </w:r>
          </w:p>
        </w:tc>
        <w:tc>
          <w:tcPr>
            <w:tcW w:w="1262" w:type="dxa"/>
            <w:shd w:val="clear" w:color="auto" w:fill="auto"/>
            <w:vAlign w:val="center"/>
          </w:tcPr>
          <w:p>
            <w:pPr>
              <w:pStyle w:val="2"/>
              <w:keepNext w:val="0"/>
              <w:keepLines w:val="0"/>
              <w:widowControl/>
              <w:suppressLineNumbers w:val="0"/>
              <w:jc w:val="center"/>
            </w:pPr>
            <w:r>
              <w:rPr>
                <w:b/>
              </w:rPr>
              <w:t>2009年</w:t>
            </w:r>
          </w:p>
        </w:tc>
        <w:tc>
          <w:tcPr>
            <w:tcW w:w="1261" w:type="dxa"/>
            <w:shd w:val="clear" w:color="auto" w:fill="auto"/>
            <w:vAlign w:val="center"/>
          </w:tcPr>
          <w:p>
            <w:pPr>
              <w:pStyle w:val="2"/>
              <w:keepNext w:val="0"/>
              <w:keepLines w:val="0"/>
              <w:widowControl/>
              <w:suppressLineNumbers w:val="0"/>
              <w:jc w:val="center"/>
            </w:pPr>
            <w:r>
              <w:rPr>
                <w:b/>
              </w:rPr>
              <w:t>2015年</w:t>
            </w:r>
          </w:p>
        </w:tc>
        <w:tc>
          <w:tcPr>
            <w:tcW w:w="1262" w:type="dxa"/>
            <w:shd w:val="clear" w:color="auto" w:fill="auto"/>
            <w:vAlign w:val="center"/>
          </w:tcPr>
          <w:p>
            <w:pPr>
              <w:pStyle w:val="2"/>
              <w:keepNext w:val="0"/>
              <w:keepLines w:val="0"/>
              <w:widowControl/>
              <w:suppressLineNumbers w:val="0"/>
              <w:jc w:val="center"/>
            </w:pPr>
            <w:r>
              <w:rPr>
                <w:b/>
              </w:rPr>
              <w:t>2020年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学前教育</w:t>
            </w:r>
          </w:p>
          <w:p>
            <w:pPr>
              <w:pStyle w:val="2"/>
              <w:keepNext w:val="0"/>
              <w:keepLines w:val="0"/>
              <w:widowControl/>
              <w:suppressLineNumbers w:val="0"/>
              <w:jc w:val="center"/>
            </w:pPr>
            <w:r>
              <w:t>幼儿在园人数</w:t>
            </w:r>
          </w:p>
          <w:p>
            <w:pPr>
              <w:pStyle w:val="2"/>
              <w:keepNext w:val="0"/>
              <w:keepLines w:val="0"/>
              <w:widowControl/>
              <w:suppressLineNumbers w:val="0"/>
              <w:jc w:val="center"/>
            </w:pPr>
            <w:r>
              <w:t>学前一年毛入园率</w:t>
            </w:r>
          </w:p>
          <w:p>
            <w:pPr>
              <w:pStyle w:val="2"/>
              <w:keepNext w:val="0"/>
              <w:keepLines w:val="0"/>
              <w:widowControl/>
              <w:suppressLineNumbers w:val="0"/>
              <w:jc w:val="center"/>
            </w:pPr>
            <w:r>
              <w:t>学前两年毛入园率</w:t>
            </w:r>
          </w:p>
          <w:p>
            <w:pPr>
              <w:pStyle w:val="2"/>
              <w:keepNext w:val="0"/>
              <w:keepLines w:val="0"/>
              <w:widowControl/>
              <w:suppressLineNumbers w:val="0"/>
              <w:jc w:val="center"/>
            </w:pPr>
            <w:r>
              <w:t>学前三年毛入园率</w:t>
            </w:r>
          </w:p>
        </w:tc>
        <w:tc>
          <w:tcPr>
            <w:tcW w:w="1157"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万人</w:t>
            </w:r>
          </w:p>
          <w:p>
            <w:pPr>
              <w:pStyle w:val="2"/>
              <w:keepNext w:val="0"/>
              <w:keepLines w:val="0"/>
              <w:widowControl/>
              <w:suppressLineNumbers w:val="0"/>
              <w:jc w:val="center"/>
            </w:pPr>
            <w:r>
              <w:t>%</w:t>
            </w:r>
          </w:p>
          <w:p>
            <w:pPr>
              <w:pStyle w:val="2"/>
              <w:keepNext w:val="0"/>
              <w:keepLines w:val="0"/>
              <w:widowControl/>
              <w:suppressLineNumbers w:val="0"/>
              <w:jc w:val="center"/>
            </w:pPr>
            <w:r>
              <w:t>%</w:t>
            </w:r>
          </w:p>
          <w:p>
            <w:pPr>
              <w:pStyle w:val="2"/>
              <w:keepNext w:val="0"/>
              <w:keepLines w:val="0"/>
              <w:widowControl/>
              <w:suppressLineNumbers w:val="0"/>
              <w:jc w:val="center"/>
            </w:pPr>
            <w:r>
              <w:t>%</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2658</w:t>
            </w:r>
          </w:p>
          <w:p>
            <w:pPr>
              <w:pStyle w:val="2"/>
              <w:keepNext w:val="0"/>
              <w:keepLines w:val="0"/>
              <w:widowControl/>
              <w:suppressLineNumbers w:val="0"/>
              <w:jc w:val="center"/>
            </w:pPr>
            <w:r>
              <w:t>74.0</w:t>
            </w:r>
          </w:p>
          <w:p>
            <w:pPr>
              <w:pStyle w:val="2"/>
              <w:keepNext w:val="0"/>
              <w:keepLines w:val="0"/>
              <w:widowControl/>
              <w:suppressLineNumbers w:val="0"/>
              <w:jc w:val="center"/>
            </w:pPr>
            <w:r>
              <w:t>65.0</w:t>
            </w:r>
          </w:p>
          <w:p>
            <w:pPr>
              <w:pStyle w:val="2"/>
              <w:keepNext w:val="0"/>
              <w:keepLines w:val="0"/>
              <w:widowControl/>
              <w:suppressLineNumbers w:val="0"/>
              <w:jc w:val="center"/>
            </w:pPr>
            <w:r>
              <w:t>50.9</w:t>
            </w:r>
          </w:p>
        </w:tc>
        <w:tc>
          <w:tcPr>
            <w:tcW w:w="1261"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3400</w:t>
            </w:r>
          </w:p>
          <w:p>
            <w:pPr>
              <w:pStyle w:val="2"/>
              <w:keepNext w:val="0"/>
              <w:keepLines w:val="0"/>
              <w:widowControl/>
              <w:suppressLineNumbers w:val="0"/>
              <w:jc w:val="center"/>
            </w:pPr>
            <w:r>
              <w:t>85.0</w:t>
            </w:r>
          </w:p>
          <w:p>
            <w:pPr>
              <w:pStyle w:val="2"/>
              <w:keepNext w:val="0"/>
              <w:keepLines w:val="0"/>
              <w:widowControl/>
              <w:suppressLineNumbers w:val="0"/>
              <w:jc w:val="center"/>
            </w:pPr>
            <w:r>
              <w:t>70.0</w:t>
            </w:r>
          </w:p>
          <w:p>
            <w:pPr>
              <w:pStyle w:val="2"/>
              <w:keepNext w:val="0"/>
              <w:keepLines w:val="0"/>
              <w:widowControl/>
              <w:suppressLineNumbers w:val="0"/>
              <w:jc w:val="center"/>
            </w:pPr>
            <w:r>
              <w:t>60.0</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4000</w:t>
            </w:r>
          </w:p>
          <w:p>
            <w:pPr>
              <w:pStyle w:val="2"/>
              <w:keepNext w:val="0"/>
              <w:keepLines w:val="0"/>
              <w:widowControl/>
              <w:suppressLineNumbers w:val="0"/>
              <w:jc w:val="center"/>
            </w:pPr>
            <w:r>
              <w:t>95.0</w:t>
            </w:r>
          </w:p>
          <w:p>
            <w:pPr>
              <w:pStyle w:val="2"/>
              <w:keepNext w:val="0"/>
              <w:keepLines w:val="0"/>
              <w:widowControl/>
              <w:suppressLineNumbers w:val="0"/>
              <w:jc w:val="center"/>
            </w:pPr>
            <w:r>
              <w:t>80.0</w:t>
            </w:r>
          </w:p>
          <w:p>
            <w:pPr>
              <w:pStyle w:val="2"/>
              <w:keepNext w:val="0"/>
              <w:keepLines w:val="0"/>
              <w:widowControl/>
              <w:suppressLineNumbers w:val="0"/>
              <w:jc w:val="center"/>
            </w:pPr>
            <w: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九年义务教育</w:t>
            </w:r>
          </w:p>
          <w:p>
            <w:pPr>
              <w:pStyle w:val="2"/>
              <w:keepNext w:val="0"/>
              <w:keepLines w:val="0"/>
              <w:widowControl/>
              <w:suppressLineNumbers w:val="0"/>
              <w:jc w:val="center"/>
            </w:pPr>
            <w:r>
              <w:t>在校生</w:t>
            </w:r>
          </w:p>
          <w:p>
            <w:pPr>
              <w:pStyle w:val="2"/>
              <w:keepNext w:val="0"/>
              <w:keepLines w:val="0"/>
              <w:widowControl/>
              <w:suppressLineNumbers w:val="0"/>
              <w:jc w:val="center"/>
            </w:pPr>
            <w:r>
              <w:t>巩固率</w:t>
            </w:r>
          </w:p>
        </w:tc>
        <w:tc>
          <w:tcPr>
            <w:tcW w:w="1157"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万人</w:t>
            </w:r>
          </w:p>
          <w:p>
            <w:pPr>
              <w:pStyle w:val="2"/>
              <w:keepNext w:val="0"/>
              <w:keepLines w:val="0"/>
              <w:widowControl/>
              <w:suppressLineNumbers w:val="0"/>
              <w:jc w:val="center"/>
            </w:pPr>
            <w:r>
              <w:t>%</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15772</w:t>
            </w:r>
          </w:p>
          <w:p>
            <w:pPr>
              <w:pStyle w:val="2"/>
              <w:keepNext w:val="0"/>
              <w:keepLines w:val="0"/>
              <w:widowControl/>
              <w:suppressLineNumbers w:val="0"/>
              <w:jc w:val="center"/>
            </w:pPr>
            <w:r>
              <w:t>90.8</w:t>
            </w:r>
          </w:p>
        </w:tc>
        <w:tc>
          <w:tcPr>
            <w:tcW w:w="1261"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16100</w:t>
            </w:r>
          </w:p>
          <w:p>
            <w:pPr>
              <w:pStyle w:val="2"/>
              <w:keepNext w:val="0"/>
              <w:keepLines w:val="0"/>
              <w:widowControl/>
              <w:suppressLineNumbers w:val="0"/>
              <w:jc w:val="center"/>
            </w:pPr>
            <w:r>
              <w:t>93.0</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16500</w:t>
            </w:r>
          </w:p>
          <w:p>
            <w:pPr>
              <w:pStyle w:val="2"/>
              <w:keepNext w:val="0"/>
              <w:keepLines w:val="0"/>
              <w:widowControl/>
              <w:suppressLineNumbers w:val="0"/>
              <w:jc w:val="center"/>
            </w:pPr>
            <w:r>
              <w:t>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高中阶段教育*</w:t>
            </w:r>
          </w:p>
          <w:p>
            <w:pPr>
              <w:pStyle w:val="2"/>
              <w:keepNext w:val="0"/>
              <w:keepLines w:val="0"/>
              <w:widowControl/>
              <w:suppressLineNumbers w:val="0"/>
              <w:jc w:val="center"/>
            </w:pPr>
            <w:r>
              <w:t>在校生</w:t>
            </w:r>
          </w:p>
          <w:p>
            <w:pPr>
              <w:pStyle w:val="2"/>
              <w:keepNext w:val="0"/>
              <w:keepLines w:val="0"/>
              <w:widowControl/>
              <w:suppressLineNumbers w:val="0"/>
              <w:jc w:val="center"/>
            </w:pPr>
            <w:r>
              <w:t>毛入学率</w:t>
            </w:r>
          </w:p>
        </w:tc>
        <w:tc>
          <w:tcPr>
            <w:tcW w:w="1157"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万人</w:t>
            </w:r>
          </w:p>
          <w:p>
            <w:pPr>
              <w:pStyle w:val="2"/>
              <w:keepNext w:val="0"/>
              <w:keepLines w:val="0"/>
              <w:widowControl/>
              <w:suppressLineNumbers w:val="0"/>
              <w:jc w:val="center"/>
            </w:pPr>
            <w:r>
              <w:t>%</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4624</w:t>
            </w:r>
          </w:p>
          <w:p>
            <w:pPr>
              <w:pStyle w:val="2"/>
              <w:keepNext w:val="0"/>
              <w:keepLines w:val="0"/>
              <w:widowControl/>
              <w:suppressLineNumbers w:val="0"/>
              <w:jc w:val="center"/>
            </w:pPr>
            <w:r>
              <w:t>79.2</w:t>
            </w:r>
          </w:p>
        </w:tc>
        <w:tc>
          <w:tcPr>
            <w:tcW w:w="1261"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4500</w:t>
            </w:r>
          </w:p>
          <w:p>
            <w:pPr>
              <w:pStyle w:val="2"/>
              <w:keepNext w:val="0"/>
              <w:keepLines w:val="0"/>
              <w:widowControl/>
              <w:suppressLineNumbers w:val="0"/>
              <w:jc w:val="center"/>
            </w:pPr>
            <w:r>
              <w:t>87.0</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4700</w:t>
            </w:r>
          </w:p>
          <w:p>
            <w:pPr>
              <w:pStyle w:val="2"/>
              <w:keepNext w:val="0"/>
              <w:keepLines w:val="0"/>
              <w:widowControl/>
              <w:suppressLineNumbers w:val="0"/>
              <w:jc w:val="center"/>
            </w:pPr>
            <w:r>
              <w:t>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职业教育</w:t>
            </w:r>
          </w:p>
          <w:p>
            <w:pPr>
              <w:pStyle w:val="2"/>
              <w:keepNext w:val="0"/>
              <w:keepLines w:val="0"/>
              <w:widowControl/>
              <w:suppressLineNumbers w:val="0"/>
              <w:jc w:val="center"/>
            </w:pPr>
            <w:r>
              <w:t>中等职业教育在校生</w:t>
            </w:r>
          </w:p>
          <w:p>
            <w:pPr>
              <w:pStyle w:val="2"/>
              <w:keepNext w:val="0"/>
              <w:keepLines w:val="0"/>
              <w:widowControl/>
              <w:suppressLineNumbers w:val="0"/>
              <w:jc w:val="center"/>
            </w:pPr>
            <w:r>
              <w:t>高等职业教育在校生</w:t>
            </w:r>
          </w:p>
        </w:tc>
        <w:tc>
          <w:tcPr>
            <w:tcW w:w="1157"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万人</w:t>
            </w:r>
          </w:p>
          <w:p>
            <w:pPr>
              <w:pStyle w:val="2"/>
              <w:keepNext w:val="0"/>
              <w:keepLines w:val="0"/>
              <w:widowControl/>
              <w:suppressLineNumbers w:val="0"/>
              <w:jc w:val="center"/>
            </w:pPr>
            <w:r>
              <w:t>万人</w:t>
            </w:r>
          </w:p>
        </w:tc>
        <w:tc>
          <w:tcPr>
            <w:tcW w:w="1262" w:type="dxa"/>
            <w:shd w:val="clear" w:color="auto" w:fill="auto"/>
            <w:vAlign w:val="top"/>
          </w:tcPr>
          <w:p>
            <w:pPr>
              <w:pStyle w:val="2"/>
              <w:keepNext w:val="0"/>
              <w:keepLines w:val="0"/>
              <w:widowControl/>
              <w:suppressLineNumbers w:val="0"/>
              <w:jc w:val="center"/>
            </w:pPr>
            <w:r>
              <w:t> </w:t>
            </w:r>
          </w:p>
          <w:p>
            <w:pPr>
              <w:pStyle w:val="2"/>
              <w:keepNext w:val="0"/>
              <w:keepLines w:val="0"/>
              <w:widowControl/>
              <w:suppressLineNumbers w:val="0"/>
              <w:jc w:val="center"/>
            </w:pPr>
            <w:r>
              <w:t>2179</w:t>
            </w:r>
          </w:p>
          <w:p>
            <w:pPr>
              <w:pStyle w:val="2"/>
              <w:keepNext w:val="0"/>
              <w:keepLines w:val="0"/>
              <w:widowControl/>
              <w:suppressLineNumbers w:val="0"/>
              <w:jc w:val="center"/>
            </w:pPr>
            <w:r>
              <w:t>1280</w:t>
            </w:r>
          </w:p>
        </w:tc>
        <w:tc>
          <w:tcPr>
            <w:tcW w:w="1261" w:type="dxa"/>
            <w:shd w:val="clear" w:color="auto" w:fill="auto"/>
            <w:vAlign w:val="top"/>
          </w:tcPr>
          <w:p>
            <w:pPr>
              <w:pStyle w:val="2"/>
              <w:keepNext w:val="0"/>
              <w:keepLines w:val="0"/>
              <w:widowControl/>
              <w:suppressLineNumbers w:val="0"/>
              <w:jc w:val="center"/>
            </w:pPr>
            <w:r>
              <w:t> </w:t>
            </w:r>
          </w:p>
          <w:p>
            <w:pPr>
              <w:pStyle w:val="2"/>
              <w:keepNext w:val="0"/>
              <w:keepLines w:val="0"/>
              <w:widowControl/>
              <w:suppressLineNumbers w:val="0"/>
              <w:jc w:val="center"/>
            </w:pPr>
            <w:r>
              <w:t>2250</w:t>
            </w:r>
          </w:p>
          <w:p>
            <w:pPr>
              <w:pStyle w:val="2"/>
              <w:keepNext w:val="0"/>
              <w:keepLines w:val="0"/>
              <w:widowControl/>
              <w:suppressLineNumbers w:val="0"/>
              <w:jc w:val="center"/>
            </w:pPr>
            <w:r>
              <w:t>1390</w:t>
            </w:r>
          </w:p>
        </w:tc>
        <w:tc>
          <w:tcPr>
            <w:tcW w:w="1262" w:type="dxa"/>
            <w:shd w:val="clear" w:color="auto" w:fill="auto"/>
            <w:vAlign w:val="top"/>
          </w:tcPr>
          <w:p>
            <w:pPr>
              <w:pStyle w:val="2"/>
              <w:keepNext w:val="0"/>
              <w:keepLines w:val="0"/>
              <w:widowControl/>
              <w:suppressLineNumbers w:val="0"/>
              <w:jc w:val="center"/>
            </w:pPr>
            <w:r>
              <w:t> </w:t>
            </w:r>
          </w:p>
          <w:p>
            <w:pPr>
              <w:pStyle w:val="2"/>
              <w:keepNext w:val="0"/>
              <w:keepLines w:val="0"/>
              <w:widowControl/>
              <w:suppressLineNumbers w:val="0"/>
              <w:jc w:val="center"/>
            </w:pPr>
            <w:r>
              <w:t>2350</w:t>
            </w:r>
          </w:p>
          <w:p>
            <w:pPr>
              <w:pStyle w:val="2"/>
              <w:keepNext w:val="0"/>
              <w:keepLines w:val="0"/>
              <w:widowControl/>
              <w:suppressLineNumbers w:val="0"/>
              <w:jc w:val="center"/>
            </w:pPr>
            <w:r>
              <w:t>1480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高等教育**</w:t>
            </w:r>
          </w:p>
          <w:p>
            <w:pPr>
              <w:pStyle w:val="2"/>
              <w:keepNext w:val="0"/>
              <w:keepLines w:val="0"/>
              <w:widowControl/>
              <w:suppressLineNumbers w:val="0"/>
              <w:jc w:val="center"/>
            </w:pPr>
            <w:r>
              <w:t>在学总规模</w:t>
            </w:r>
          </w:p>
          <w:p>
            <w:pPr>
              <w:pStyle w:val="2"/>
              <w:keepNext w:val="0"/>
              <w:keepLines w:val="0"/>
              <w:widowControl/>
              <w:suppressLineNumbers w:val="0"/>
              <w:jc w:val="center"/>
            </w:pPr>
            <w:r>
              <w:t>在校生</w:t>
            </w:r>
          </w:p>
          <w:p>
            <w:pPr>
              <w:pStyle w:val="2"/>
              <w:keepNext w:val="0"/>
              <w:keepLines w:val="0"/>
              <w:widowControl/>
              <w:suppressLineNumbers w:val="0"/>
              <w:jc w:val="center"/>
            </w:pPr>
            <w:r>
              <w:t>其中：研究生</w:t>
            </w:r>
          </w:p>
          <w:p>
            <w:pPr>
              <w:pStyle w:val="2"/>
              <w:keepNext w:val="0"/>
              <w:keepLines w:val="0"/>
              <w:widowControl/>
              <w:suppressLineNumbers w:val="0"/>
              <w:jc w:val="center"/>
            </w:pPr>
            <w:r>
              <w:t>毛入学率</w:t>
            </w:r>
          </w:p>
        </w:tc>
        <w:tc>
          <w:tcPr>
            <w:tcW w:w="1157" w:type="dxa"/>
            <w:shd w:val="clear" w:color="auto" w:fill="auto"/>
            <w:vAlign w:val="top"/>
          </w:tcPr>
          <w:p>
            <w:pPr>
              <w:pStyle w:val="2"/>
              <w:keepNext w:val="0"/>
              <w:keepLines w:val="0"/>
              <w:widowControl/>
              <w:suppressLineNumbers w:val="0"/>
              <w:jc w:val="both"/>
            </w:pPr>
          </w:p>
          <w:p>
            <w:pPr>
              <w:pStyle w:val="2"/>
              <w:keepNext w:val="0"/>
              <w:keepLines w:val="0"/>
              <w:widowControl/>
              <w:suppressLineNumbers w:val="0"/>
              <w:jc w:val="center"/>
            </w:pPr>
            <w:r>
              <w:t>万人</w:t>
            </w:r>
          </w:p>
          <w:p>
            <w:pPr>
              <w:pStyle w:val="2"/>
              <w:keepNext w:val="0"/>
              <w:keepLines w:val="0"/>
              <w:widowControl/>
              <w:suppressLineNumbers w:val="0"/>
              <w:jc w:val="center"/>
            </w:pPr>
            <w:r>
              <w:t>万人</w:t>
            </w:r>
          </w:p>
          <w:p>
            <w:pPr>
              <w:pStyle w:val="2"/>
              <w:keepNext w:val="0"/>
              <w:keepLines w:val="0"/>
              <w:widowControl/>
              <w:suppressLineNumbers w:val="0"/>
              <w:jc w:val="center"/>
            </w:pPr>
            <w:r>
              <w:t>万人</w:t>
            </w:r>
          </w:p>
          <w:p>
            <w:pPr>
              <w:pStyle w:val="2"/>
              <w:keepNext w:val="0"/>
              <w:keepLines w:val="0"/>
              <w:widowControl/>
              <w:suppressLineNumbers w:val="0"/>
              <w:jc w:val="center"/>
            </w:pPr>
            <w:r>
              <w:t>%</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2979</w:t>
            </w:r>
          </w:p>
          <w:p>
            <w:pPr>
              <w:pStyle w:val="2"/>
              <w:keepNext w:val="0"/>
              <w:keepLines w:val="0"/>
              <w:widowControl/>
              <w:suppressLineNumbers w:val="0"/>
              <w:jc w:val="center"/>
            </w:pPr>
            <w:r>
              <w:t>2826</w:t>
            </w:r>
          </w:p>
          <w:p>
            <w:pPr>
              <w:pStyle w:val="2"/>
              <w:keepNext w:val="0"/>
              <w:keepLines w:val="0"/>
              <w:widowControl/>
              <w:suppressLineNumbers w:val="0"/>
              <w:jc w:val="center"/>
            </w:pPr>
            <w:r>
              <w:t>140</w:t>
            </w:r>
          </w:p>
          <w:p>
            <w:pPr>
              <w:pStyle w:val="2"/>
              <w:keepNext w:val="0"/>
              <w:keepLines w:val="0"/>
              <w:widowControl/>
              <w:suppressLineNumbers w:val="0"/>
              <w:jc w:val="center"/>
            </w:pPr>
            <w:r>
              <w:t>24.2</w:t>
            </w:r>
          </w:p>
        </w:tc>
        <w:tc>
          <w:tcPr>
            <w:tcW w:w="1261"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3350</w:t>
            </w:r>
          </w:p>
          <w:p>
            <w:pPr>
              <w:pStyle w:val="2"/>
              <w:keepNext w:val="0"/>
              <w:keepLines w:val="0"/>
              <w:widowControl/>
              <w:suppressLineNumbers w:val="0"/>
              <w:jc w:val="center"/>
            </w:pPr>
            <w:r>
              <w:t>3080</w:t>
            </w:r>
          </w:p>
          <w:p>
            <w:pPr>
              <w:pStyle w:val="2"/>
              <w:keepNext w:val="0"/>
              <w:keepLines w:val="0"/>
              <w:widowControl/>
              <w:suppressLineNumbers w:val="0"/>
              <w:jc w:val="center"/>
            </w:pPr>
            <w:r>
              <w:t>170</w:t>
            </w:r>
          </w:p>
          <w:p>
            <w:pPr>
              <w:pStyle w:val="2"/>
              <w:keepNext w:val="0"/>
              <w:keepLines w:val="0"/>
              <w:widowControl/>
              <w:suppressLineNumbers w:val="0"/>
              <w:jc w:val="center"/>
            </w:pPr>
            <w:r>
              <w:t>36.0</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3550</w:t>
            </w:r>
          </w:p>
          <w:p>
            <w:pPr>
              <w:pStyle w:val="2"/>
              <w:keepNext w:val="0"/>
              <w:keepLines w:val="0"/>
              <w:widowControl/>
              <w:suppressLineNumbers w:val="0"/>
              <w:jc w:val="center"/>
            </w:pPr>
            <w:r>
              <w:t>3300</w:t>
            </w:r>
          </w:p>
          <w:p>
            <w:pPr>
              <w:pStyle w:val="2"/>
              <w:keepNext w:val="0"/>
              <w:keepLines w:val="0"/>
              <w:widowControl/>
              <w:suppressLineNumbers w:val="0"/>
              <w:jc w:val="center"/>
            </w:pPr>
            <w:r>
              <w:t>200</w:t>
            </w:r>
          </w:p>
          <w:p>
            <w:pPr>
              <w:pStyle w:val="2"/>
              <w:keepNext w:val="0"/>
              <w:keepLines w:val="0"/>
              <w:widowControl/>
              <w:suppressLineNumbers w:val="0"/>
              <w:jc w:val="center"/>
            </w:pPr>
            <w: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378" w:type="dxa"/>
            <w:shd w:val="clear" w:color="auto" w:fill="auto"/>
            <w:vAlign w:val="top"/>
          </w:tcPr>
          <w:p>
            <w:pPr>
              <w:pStyle w:val="2"/>
              <w:keepNext w:val="0"/>
              <w:keepLines w:val="0"/>
              <w:widowControl/>
              <w:suppressLineNumbers w:val="0"/>
              <w:jc w:val="center"/>
            </w:pPr>
            <w:r>
              <w:rPr>
                <w:b/>
              </w:rPr>
              <w:t>继续教育</w:t>
            </w:r>
          </w:p>
          <w:p>
            <w:pPr>
              <w:pStyle w:val="2"/>
              <w:keepNext w:val="0"/>
              <w:keepLines w:val="0"/>
              <w:widowControl/>
              <w:suppressLineNumbers w:val="0"/>
              <w:jc w:val="center"/>
            </w:pPr>
            <w:r>
              <w:t>从业人员继续教育</w:t>
            </w:r>
          </w:p>
        </w:tc>
        <w:tc>
          <w:tcPr>
            <w:tcW w:w="1157"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万人次</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16600</w:t>
            </w:r>
          </w:p>
        </w:tc>
        <w:tc>
          <w:tcPr>
            <w:tcW w:w="1261"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29000</w:t>
            </w:r>
          </w:p>
        </w:tc>
        <w:tc>
          <w:tcPr>
            <w:tcW w:w="1262" w:type="dxa"/>
            <w:shd w:val="clear" w:color="auto" w:fill="auto"/>
            <w:vAlign w:val="top"/>
          </w:tcPr>
          <w:p>
            <w:pPr>
              <w:pStyle w:val="2"/>
              <w:keepNext w:val="0"/>
              <w:keepLines w:val="0"/>
              <w:widowControl/>
              <w:suppressLineNumbers w:val="0"/>
              <w:jc w:val="center"/>
            </w:pPr>
          </w:p>
          <w:p>
            <w:pPr>
              <w:pStyle w:val="2"/>
              <w:keepNext w:val="0"/>
              <w:keepLines w:val="0"/>
              <w:widowControl/>
              <w:suppressLineNumbers w:val="0"/>
              <w:jc w:val="center"/>
            </w:pPr>
            <w:r>
              <w:t>35000</w:t>
            </w:r>
          </w:p>
        </w:tc>
      </w:tr>
    </w:tbl>
    <w:p>
      <w:pPr>
        <w:pStyle w:val="2"/>
        <w:keepNext w:val="0"/>
        <w:keepLines w:val="0"/>
        <w:widowControl/>
        <w:suppressLineNumbers w:val="0"/>
        <w:spacing w:line="390" w:lineRule="atLeast"/>
        <w:jc w:val="center"/>
      </w:pPr>
      <w:r>
        <w:rPr>
          <w:sz w:val="21"/>
          <w:szCs w:val="21"/>
        </w:rPr>
        <w:t>注：*含中等职业教育学生数；**含高等职业教育学生数。</w:t>
      </w:r>
    </w:p>
    <w:p>
      <w:pPr>
        <w:pStyle w:val="2"/>
        <w:keepNext w:val="0"/>
        <w:keepLines w:val="0"/>
        <w:widowControl/>
        <w:suppressLineNumbers w:val="0"/>
        <w:spacing w:line="390" w:lineRule="atLeast"/>
        <w:jc w:val="center"/>
        <w:rPr>
          <w:b/>
          <w:sz w:val="21"/>
          <w:szCs w:val="21"/>
        </w:rPr>
      </w:pPr>
      <w:r>
        <w:rPr>
          <w:b/>
          <w:sz w:val="21"/>
          <w:szCs w:val="21"/>
        </w:rPr>
        <w:t>专栏2：人力资源开发主要目标</w:t>
      </w:r>
    </w:p>
    <w:tbl>
      <w:tblPr>
        <w:tblStyle w:val="3"/>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34"/>
        <w:gridCol w:w="1001"/>
        <w:gridCol w:w="961"/>
        <w:gridCol w:w="962"/>
        <w:gridCol w:w="9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434" w:type="dxa"/>
            <w:shd w:val="clear" w:color="auto" w:fill="auto"/>
            <w:vAlign w:val="top"/>
          </w:tcPr>
          <w:p>
            <w:pPr>
              <w:pStyle w:val="2"/>
              <w:keepNext w:val="0"/>
              <w:keepLines w:val="0"/>
              <w:widowControl/>
              <w:suppressLineNumbers w:val="0"/>
              <w:jc w:val="center"/>
            </w:pPr>
            <w:r>
              <w:rPr>
                <w:b/>
              </w:rPr>
              <w:t>指标</w:t>
            </w:r>
          </w:p>
        </w:tc>
        <w:tc>
          <w:tcPr>
            <w:tcW w:w="1001" w:type="dxa"/>
            <w:shd w:val="clear" w:color="auto" w:fill="auto"/>
            <w:vAlign w:val="top"/>
          </w:tcPr>
          <w:p>
            <w:pPr>
              <w:pStyle w:val="2"/>
              <w:keepNext w:val="0"/>
              <w:keepLines w:val="0"/>
              <w:widowControl/>
              <w:suppressLineNumbers w:val="0"/>
              <w:jc w:val="center"/>
            </w:pPr>
            <w:r>
              <w:rPr>
                <w:b/>
              </w:rPr>
              <w:t>单位</w:t>
            </w:r>
          </w:p>
        </w:tc>
        <w:tc>
          <w:tcPr>
            <w:tcW w:w="961" w:type="dxa"/>
            <w:shd w:val="clear" w:color="auto" w:fill="auto"/>
            <w:vAlign w:val="top"/>
          </w:tcPr>
          <w:p>
            <w:pPr>
              <w:pStyle w:val="2"/>
              <w:keepNext w:val="0"/>
              <w:keepLines w:val="0"/>
              <w:widowControl/>
              <w:suppressLineNumbers w:val="0"/>
              <w:jc w:val="center"/>
            </w:pPr>
            <w:r>
              <w:rPr>
                <w:b/>
              </w:rPr>
              <w:t>2009年</w:t>
            </w:r>
          </w:p>
        </w:tc>
        <w:tc>
          <w:tcPr>
            <w:tcW w:w="962" w:type="dxa"/>
            <w:shd w:val="clear" w:color="auto" w:fill="auto"/>
            <w:vAlign w:val="top"/>
          </w:tcPr>
          <w:p>
            <w:pPr>
              <w:pStyle w:val="2"/>
              <w:keepNext w:val="0"/>
              <w:keepLines w:val="0"/>
              <w:widowControl/>
              <w:suppressLineNumbers w:val="0"/>
              <w:jc w:val="center"/>
            </w:pPr>
            <w:r>
              <w:rPr>
                <w:b/>
              </w:rPr>
              <w:t>2015年</w:t>
            </w:r>
          </w:p>
        </w:tc>
        <w:tc>
          <w:tcPr>
            <w:tcW w:w="962" w:type="dxa"/>
            <w:shd w:val="clear" w:color="auto" w:fill="auto"/>
            <w:vAlign w:val="top"/>
          </w:tcPr>
          <w:p>
            <w:pPr>
              <w:pStyle w:val="2"/>
              <w:keepNext w:val="0"/>
              <w:keepLines w:val="0"/>
              <w:widowControl/>
              <w:suppressLineNumbers w:val="0"/>
              <w:jc w:val="center"/>
            </w:pPr>
            <w:r>
              <w:rPr>
                <w:b/>
              </w:rPr>
              <w:t>2020年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22" w:hRule="atLeast"/>
          <w:tblCellSpacing w:w="0" w:type="dxa"/>
          <w:jc w:val="center"/>
        </w:trPr>
        <w:tc>
          <w:tcPr>
            <w:tcW w:w="4434" w:type="dxa"/>
            <w:shd w:val="clear" w:color="auto" w:fill="auto"/>
            <w:vAlign w:val="center"/>
          </w:tcPr>
          <w:p>
            <w:pPr>
              <w:pStyle w:val="2"/>
              <w:keepNext w:val="0"/>
              <w:keepLines w:val="0"/>
              <w:widowControl/>
              <w:suppressLineNumbers w:val="0"/>
              <w:jc w:val="center"/>
            </w:pPr>
            <w:r>
              <w:t>具有高等教育文化程度的人数</w:t>
            </w:r>
          </w:p>
        </w:tc>
        <w:tc>
          <w:tcPr>
            <w:tcW w:w="1001" w:type="dxa"/>
            <w:shd w:val="clear" w:color="auto" w:fill="auto"/>
            <w:vAlign w:val="center"/>
          </w:tcPr>
          <w:p>
            <w:pPr>
              <w:pStyle w:val="2"/>
              <w:keepNext w:val="0"/>
              <w:keepLines w:val="0"/>
              <w:widowControl/>
              <w:suppressLineNumbers w:val="0"/>
              <w:jc w:val="center"/>
            </w:pPr>
            <w:r>
              <w:t>万人</w:t>
            </w:r>
          </w:p>
        </w:tc>
        <w:tc>
          <w:tcPr>
            <w:tcW w:w="961" w:type="dxa"/>
            <w:shd w:val="clear" w:color="auto" w:fill="auto"/>
            <w:vAlign w:val="center"/>
          </w:tcPr>
          <w:p>
            <w:pPr>
              <w:pStyle w:val="2"/>
              <w:keepNext w:val="0"/>
              <w:keepLines w:val="0"/>
              <w:widowControl/>
              <w:suppressLineNumbers w:val="0"/>
              <w:jc w:val="center"/>
            </w:pPr>
            <w:r>
              <w:t>9830</w:t>
            </w:r>
          </w:p>
        </w:tc>
        <w:tc>
          <w:tcPr>
            <w:tcW w:w="962" w:type="dxa"/>
            <w:shd w:val="clear" w:color="auto" w:fill="auto"/>
            <w:vAlign w:val="center"/>
          </w:tcPr>
          <w:p>
            <w:pPr>
              <w:pStyle w:val="2"/>
              <w:keepNext w:val="0"/>
              <w:keepLines w:val="0"/>
              <w:widowControl/>
              <w:suppressLineNumbers w:val="0"/>
              <w:jc w:val="center"/>
            </w:pPr>
            <w:r>
              <w:t>14500</w:t>
            </w:r>
          </w:p>
        </w:tc>
        <w:tc>
          <w:tcPr>
            <w:tcW w:w="962" w:type="dxa"/>
            <w:shd w:val="clear" w:color="auto" w:fill="auto"/>
            <w:vAlign w:val="center"/>
          </w:tcPr>
          <w:p>
            <w:pPr>
              <w:pStyle w:val="2"/>
              <w:keepNext w:val="0"/>
              <w:keepLines w:val="0"/>
              <w:widowControl/>
              <w:suppressLineNumbers w:val="0"/>
              <w:jc w:val="center"/>
            </w:pPr>
            <w:r>
              <w:t>19500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99" w:hRule="atLeast"/>
          <w:tblCellSpacing w:w="0" w:type="dxa"/>
          <w:jc w:val="center"/>
        </w:trPr>
        <w:tc>
          <w:tcPr>
            <w:tcW w:w="4434" w:type="dxa"/>
            <w:shd w:val="clear" w:color="auto" w:fill="auto"/>
            <w:vAlign w:val="center"/>
          </w:tcPr>
          <w:p>
            <w:pPr>
              <w:pStyle w:val="2"/>
              <w:keepNext w:val="0"/>
              <w:keepLines w:val="0"/>
              <w:widowControl/>
              <w:suppressLineNumbers w:val="0"/>
              <w:jc w:val="center"/>
            </w:pPr>
            <w:r>
              <w:t>主要劳动年龄人口平均受教育年限</w:t>
            </w:r>
          </w:p>
          <w:p>
            <w:pPr>
              <w:pStyle w:val="2"/>
              <w:keepNext w:val="0"/>
              <w:keepLines w:val="0"/>
              <w:widowControl/>
              <w:suppressLineNumbers w:val="0"/>
              <w:jc w:val="center"/>
            </w:pPr>
            <w:r>
              <w:t>其中：受过高等教育的比例</w:t>
            </w:r>
          </w:p>
        </w:tc>
        <w:tc>
          <w:tcPr>
            <w:tcW w:w="1001" w:type="dxa"/>
            <w:shd w:val="clear" w:color="auto" w:fill="auto"/>
            <w:vAlign w:val="center"/>
          </w:tcPr>
          <w:p>
            <w:pPr>
              <w:pStyle w:val="2"/>
              <w:keepNext w:val="0"/>
              <w:keepLines w:val="0"/>
              <w:widowControl/>
              <w:suppressLineNumbers w:val="0"/>
              <w:jc w:val="center"/>
            </w:pPr>
            <w:r>
              <w:t>年</w:t>
            </w:r>
          </w:p>
          <w:p>
            <w:pPr>
              <w:pStyle w:val="2"/>
              <w:keepNext w:val="0"/>
              <w:keepLines w:val="0"/>
              <w:widowControl/>
              <w:suppressLineNumbers w:val="0"/>
              <w:jc w:val="center"/>
            </w:pPr>
            <w:r>
              <w:t>%</w:t>
            </w:r>
          </w:p>
        </w:tc>
        <w:tc>
          <w:tcPr>
            <w:tcW w:w="961" w:type="dxa"/>
            <w:shd w:val="clear" w:color="auto" w:fill="auto"/>
            <w:vAlign w:val="center"/>
          </w:tcPr>
          <w:p>
            <w:pPr>
              <w:pStyle w:val="2"/>
              <w:keepNext w:val="0"/>
              <w:keepLines w:val="0"/>
              <w:widowControl/>
              <w:suppressLineNumbers w:val="0"/>
              <w:jc w:val="center"/>
            </w:pPr>
            <w:r>
              <w:t>9.5</w:t>
            </w:r>
          </w:p>
          <w:p>
            <w:pPr>
              <w:pStyle w:val="2"/>
              <w:keepNext w:val="0"/>
              <w:keepLines w:val="0"/>
              <w:widowControl/>
              <w:suppressLineNumbers w:val="0"/>
              <w:jc w:val="center"/>
            </w:pPr>
            <w:r>
              <w:t>9.9</w:t>
            </w:r>
          </w:p>
        </w:tc>
        <w:tc>
          <w:tcPr>
            <w:tcW w:w="962" w:type="dxa"/>
            <w:shd w:val="clear" w:color="auto" w:fill="auto"/>
            <w:vAlign w:val="center"/>
          </w:tcPr>
          <w:p>
            <w:pPr>
              <w:pStyle w:val="2"/>
              <w:keepNext w:val="0"/>
              <w:keepLines w:val="0"/>
              <w:widowControl/>
              <w:suppressLineNumbers w:val="0"/>
              <w:jc w:val="center"/>
            </w:pPr>
            <w:r>
              <w:t>10.5</w:t>
            </w:r>
          </w:p>
          <w:p>
            <w:pPr>
              <w:pStyle w:val="2"/>
              <w:keepNext w:val="0"/>
              <w:keepLines w:val="0"/>
              <w:widowControl/>
              <w:suppressLineNumbers w:val="0"/>
              <w:jc w:val="center"/>
            </w:pPr>
            <w:r>
              <w:t>15.0</w:t>
            </w:r>
          </w:p>
        </w:tc>
        <w:tc>
          <w:tcPr>
            <w:tcW w:w="962" w:type="dxa"/>
            <w:shd w:val="clear" w:color="auto" w:fill="auto"/>
            <w:vAlign w:val="center"/>
          </w:tcPr>
          <w:p>
            <w:pPr>
              <w:pStyle w:val="2"/>
              <w:keepNext w:val="0"/>
              <w:keepLines w:val="0"/>
              <w:widowControl/>
              <w:suppressLineNumbers w:val="0"/>
              <w:jc w:val="center"/>
            </w:pPr>
            <w:r>
              <w:t>11.2</w:t>
            </w:r>
          </w:p>
          <w:p>
            <w:pPr>
              <w:pStyle w:val="2"/>
              <w:keepNext w:val="0"/>
              <w:keepLines w:val="0"/>
              <w:widowControl/>
              <w:suppressLineNumbers w:val="0"/>
              <w:jc w:val="center"/>
            </w:pPr>
            <w: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04" w:hRule="atLeast"/>
          <w:tblCellSpacing w:w="0" w:type="dxa"/>
          <w:jc w:val="center"/>
        </w:trPr>
        <w:tc>
          <w:tcPr>
            <w:tcW w:w="4434" w:type="dxa"/>
            <w:shd w:val="clear" w:color="auto" w:fill="auto"/>
            <w:vAlign w:val="center"/>
          </w:tcPr>
          <w:p>
            <w:pPr>
              <w:pStyle w:val="2"/>
              <w:keepNext w:val="0"/>
              <w:keepLines w:val="0"/>
              <w:widowControl/>
              <w:suppressLineNumbers w:val="0"/>
              <w:jc w:val="center"/>
            </w:pPr>
            <w:r>
              <w:t>新增劳动力平均受教育年限</w:t>
            </w:r>
          </w:p>
          <w:p>
            <w:pPr>
              <w:pStyle w:val="2"/>
              <w:keepNext w:val="0"/>
              <w:keepLines w:val="0"/>
              <w:widowControl/>
              <w:suppressLineNumbers w:val="0"/>
              <w:jc w:val="center"/>
            </w:pPr>
            <w:r>
              <w:t>其中：受过高中阶段及以上教育的比例</w:t>
            </w:r>
          </w:p>
        </w:tc>
        <w:tc>
          <w:tcPr>
            <w:tcW w:w="1001" w:type="dxa"/>
            <w:shd w:val="clear" w:color="auto" w:fill="auto"/>
            <w:vAlign w:val="center"/>
          </w:tcPr>
          <w:p>
            <w:pPr>
              <w:pStyle w:val="2"/>
              <w:keepNext w:val="0"/>
              <w:keepLines w:val="0"/>
              <w:widowControl/>
              <w:suppressLineNumbers w:val="0"/>
              <w:jc w:val="center"/>
            </w:pPr>
            <w:r>
              <w:t>年</w:t>
            </w:r>
          </w:p>
          <w:p>
            <w:pPr>
              <w:pStyle w:val="2"/>
              <w:keepNext w:val="0"/>
              <w:keepLines w:val="0"/>
              <w:widowControl/>
              <w:suppressLineNumbers w:val="0"/>
              <w:jc w:val="center"/>
            </w:pPr>
            <w:r>
              <w:t>%</w:t>
            </w:r>
          </w:p>
        </w:tc>
        <w:tc>
          <w:tcPr>
            <w:tcW w:w="961" w:type="dxa"/>
            <w:shd w:val="clear" w:color="auto" w:fill="auto"/>
            <w:vAlign w:val="center"/>
          </w:tcPr>
          <w:p>
            <w:pPr>
              <w:pStyle w:val="2"/>
              <w:keepNext w:val="0"/>
              <w:keepLines w:val="0"/>
              <w:widowControl/>
              <w:suppressLineNumbers w:val="0"/>
              <w:jc w:val="center"/>
            </w:pPr>
            <w:r>
              <w:t>12.4</w:t>
            </w:r>
          </w:p>
          <w:p>
            <w:pPr>
              <w:pStyle w:val="2"/>
              <w:keepNext w:val="0"/>
              <w:keepLines w:val="0"/>
              <w:widowControl/>
              <w:suppressLineNumbers w:val="0"/>
              <w:jc w:val="center"/>
            </w:pPr>
            <w:r>
              <w:t>67.0</w:t>
            </w:r>
          </w:p>
        </w:tc>
        <w:tc>
          <w:tcPr>
            <w:tcW w:w="962" w:type="dxa"/>
            <w:shd w:val="clear" w:color="auto" w:fill="auto"/>
            <w:vAlign w:val="center"/>
          </w:tcPr>
          <w:p>
            <w:pPr>
              <w:pStyle w:val="2"/>
              <w:keepNext w:val="0"/>
              <w:keepLines w:val="0"/>
              <w:widowControl/>
              <w:suppressLineNumbers w:val="0"/>
              <w:jc w:val="center"/>
            </w:pPr>
            <w:r>
              <w:t>13.3</w:t>
            </w:r>
          </w:p>
          <w:p>
            <w:pPr>
              <w:pStyle w:val="2"/>
              <w:keepNext w:val="0"/>
              <w:keepLines w:val="0"/>
              <w:widowControl/>
              <w:suppressLineNumbers w:val="0"/>
              <w:jc w:val="center"/>
            </w:pPr>
            <w:r>
              <w:t>87.0</w:t>
            </w:r>
          </w:p>
        </w:tc>
        <w:tc>
          <w:tcPr>
            <w:tcW w:w="962" w:type="dxa"/>
            <w:shd w:val="clear" w:color="auto" w:fill="auto"/>
            <w:vAlign w:val="center"/>
          </w:tcPr>
          <w:p>
            <w:pPr>
              <w:pStyle w:val="2"/>
              <w:keepNext w:val="0"/>
              <w:keepLines w:val="0"/>
              <w:widowControl/>
              <w:suppressLineNumbers w:val="0"/>
              <w:jc w:val="center"/>
            </w:pPr>
            <w:r>
              <w:t>13.5</w:t>
            </w:r>
          </w:p>
          <w:p>
            <w:pPr>
              <w:pStyle w:val="2"/>
              <w:keepNext w:val="0"/>
              <w:keepLines w:val="0"/>
              <w:widowControl/>
              <w:suppressLineNumbers w:val="0"/>
              <w:jc w:val="center"/>
            </w:pPr>
            <w:r>
              <w:t>90.0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第二部分 发展任务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第三章 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第四章 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（九）推进义务教育均衡发展。均衡发展是义务教育的战略性任务。建立健全义务教育均衡发展保障机制。推进义务教育学校标准化建设，均衡配置教师、设备、图书、校舍等资源。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加快缩小城乡差距。建立城乡一体化义务教育发展机制，在财政拨款、学校建设、教师配置等方面向农村倾斜。率先在县（区）域内实现城乡均衡发展，逐步在更大范围内推进。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努力缩小区域差距。加大对革命老区、民族地区、边疆地区、贫困地区义务教育的转移支付力度。鼓励发达地区支援欠发达地区。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充分发挥家庭教育在儿童少年成长过程中的重要作用。家长要树立正确的教育观念，掌握科学的教育方法，尊重子女的健康情趣，培养子女的良好习惯，加强与学校的沟通配合，共同减轻学生课业负担。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第五章 高中阶段教育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根据经济社会发展需要，合理确定普通高中和中等职业学校招生比例，今后一个时期总体保持普通高中和中等职业学校招生规模大体相当。加大对中西部贫困地区高中阶段教育的扶持力度。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第六章 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第七章 高等教育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促进高校办出特色。建立高校分类体系，实行分类管理。发挥政策指导和资源配置的作用，引导高校合理定位，克服同质化倾向，形成各自的办学理念和风格，在不同层次、不同领域办出特色，争创一流。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第八章 继续教育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第九章 民族教育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（二十七）全面提高少数民族和民族地区教育发展水平。公共教育资源要向民族地区倾斜。中央和地方政府要进一步加大对民族教育支持力度。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第十章 特殊教育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提高残疾学生的综合素质。注重潜能开发和缺陷补偿，培养残疾学生积极面对人生、全面融入社会的意识和自尊、自信、自立、自强的精神。加强残疾学生职业技能和就业能力培养。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第三部分 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w:t>
      </w:r>
      <w:r>
        <w:rPr>
          <w:rFonts w:hint="eastAsia"/>
          <w:b/>
          <w:bCs/>
          <w:sz w:val="24"/>
          <w:szCs w:val="24"/>
        </w:rPr>
        <w:t>　第十一章 人才培养体制改革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（三十二）创新人才培养模式。适应国家和社会发展需要，遵循教育规律和人才成长规律，深化教育教学改革，创新教育教学方法，探索多种培养方式，形成各类人才辈出、拔尖创新人才不断涌现的局面。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第十二章 考试招生制度改革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第十三章 建设现代学校制度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加强章程建设。各类高校应依法制定章程，依照章程规定管理学校。尊重学术自由，营造宽松的学术环境。全面实行聘任制度和岗位管理制度。确立科学的考核评价和激励机制。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第十四章　办学体制改革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改进非义务教育公共服务提供方式，完善优惠政策，鼓励公平竞争，引导社会资金以多种方式进入教育领域。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第十五章　管理体制改革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培育专业教育服务机构。完善教育中介组织的准入、资助、监管和行业自律制度。积极发挥行业协会、专业学会、基金会等各类社会组织在教育公共治理中的作用。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第十六章　扩大教育开放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吸引更多世界一流的专家学者来华从事教学、科研和管理工作，有计划地引进海外高端人才和学术团队。引进境外优秀教材，提高高等学校聘任外籍教师的比例。吸引海外优秀留学人员回国服务。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进一步扩大外国留学生规模。增加中国政府奖学金数量，重点资助发展中国家学生，优化来华留学人员结构。实施来华留学预备教育，增加高等学校外语授课的学科专业，不断提高来华留学教育质量。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加强内地与港澳台地区的教育交流与合作。扩展交流内容，创新合作模式，促进教育事业共同发展。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第四部分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第十七章　加强教师队伍建设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第十八章　保障经费投入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（五十六）加大教育投入。教育投入是支撑国家长远发展的基础性、战略性投资，是教育事业的物质基础，是公共财政的重要职能。要健全以政府投入为主、多渠道筹集教育经费的体制，大幅度增加教育投入。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进一步加大农村、边远贫困地区、民族地区教育投入。中央财政通过加大转移支付，支持农村欠发达地区和民族地区教育事业发展，加强关键领域和薄弱环节，解决突出问题。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完善学校收费管理办法，规范学校收费行为和收费资金使用管理。坚持勤俭办学，严禁铺张浪费，建设节约型学校。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b/>
          <w:bCs/>
          <w:sz w:val="24"/>
          <w:szCs w:val="24"/>
        </w:rPr>
        <w:t>　　第十九章 加快教育信息化进程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强化信息技术应用。提高教师应用信息技术水平，更新教学观念，改进教学方法，提高教学效果。鼓励学生利用信息手段主动学习、自主学习，增强运用信息技术分析解决问题能力。加快全民信息技术普及和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公众提供公共教育信息，不断提高教育管理现代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第二十章 推进依法治教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开展普法教育。促进师生员工提高法律素质和公民意识，自觉知法守法，遵守公共生活秩序，做遵纪守法的楷模。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严格落实问责制。主动接受和积极配合各级人大及其常委会对教育法律法规执行情况的监督检查以及司法机关的司法监督。建立健全层级监督机制。加强监察、审计等专门监督。强化社会监督。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第二十一章 重大项目和改革试点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（六十六）组织实施重大项目。2010－2012年，围绕教育改革发展战略目标，着眼于促进教育公平，提高教育质量，增强可持续发展能力，以加强关键领域和薄弱环节为重点，完善机制，组织实施一批重大项目。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推进农村学前教育。支持办好现有的乡镇和村幼儿园；重点支持中西部贫困地区充分利用中小学富余校舍和社会资源，改扩建或新建乡镇和村幼儿园；对农村幼儿园园长和骨干教师进行培训。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家庭经济困难学生资助。启动民族地区、贫困地区农村小学生营养改善计划；免除中等职业教育家庭经济困难学生和涉农专业学生学费；把普通高中学生和研究生纳入国家助学体系。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（六十七）组织开展改革试点。成立国家教育体制改革领导小组，研究部署、指导实施教育体制改革工作。根据统筹规划、分步实施、试点先行、动态调整的原则，选择部分地区和学校开展重大改革试点。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终身教育体制机制建设试点。建立区域内普通教育、职业教育、继续教育之间的沟通机制；建立终身学习网络和服务平台；统筹开发社会教育资源，积极发展社区教育；建立学习成果认证体系，建立“学分银行”制度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拔尖创新人才培养改革试点。探索贯穿各级各类教育的创新人才培养途径；鼓励高等学校联合培养拔尖创新人才；支持有条件的高中与大学、科研院所合作开展创新人才培养研究和试验，建立创新人才培养基地。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第二十二章 加强组织领导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加强学校领导班子和领导干部队伍建设，不断提高思想政治素质和办学治校能力。坚持德才兼备、以德为先用人标准，选拔任用学校领导干部。加大学校领导干部培养培训和交流任职力度。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着力扩大党组织的覆盖面，推进工作创新，增强生机活力。充分发挥学校基层党组织战斗堡垒作用和党员先锋模范作用。加强在优秀青年教师、优秀学生中发展党员工作。重视学校共青团、少先队工作。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r>
        <w:rPr>
          <w:rFonts w:hint="eastAsia"/>
          <w:b/>
          <w:bCs/>
          <w:sz w:val="24"/>
          <w:szCs w:val="24"/>
        </w:rPr>
        <w:t>　　实 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《教育规划纲要》是21世纪我国第一个中长期教育规划纲要，涉及面广、时间跨度大、任务重、要求高，必须周密部署、精心组织、认真实施，确保各项任务落到实处。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877BC"/>
    <w:rsid w:val="144877BC"/>
    <w:rsid w:val="483F5213"/>
    <w:rsid w:val="720B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2019-06-13T07:41:00Z</dcterms:created>
  <dc:creator>Administrator</dc:creator>
  <cp:lastModifiedBy>Administrator</cp:lastModifiedBy>
  <cp:lastPrinted>2019-06-13T08:24:51Z</cp:lastPrinted>
  <dcterms:modified xsi:type="dcterms:W3CDTF">2019-06-13T08:44:01Z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